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15C" w:rsidRDefault="00CD615C" w:rsidP="00CD615C">
      <w:pPr>
        <w:pStyle w:val="a3"/>
        <w:shd w:val="clear" w:color="auto" w:fill="FFFFFF"/>
        <w:rPr>
          <w:noProof/>
        </w:rPr>
      </w:pPr>
    </w:p>
    <w:p w:rsidR="00CD615C" w:rsidRDefault="00CD615C" w:rsidP="00CD615C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DD53214" wp14:editId="06EF0B5A">
            <wp:simplePos x="0" y="0"/>
            <wp:positionH relativeFrom="column">
              <wp:posOffset>-1143718</wp:posOffset>
            </wp:positionH>
            <wp:positionV relativeFrom="paragraph">
              <wp:posOffset>-732707</wp:posOffset>
            </wp:positionV>
            <wp:extent cx="7694930" cy="10752455"/>
            <wp:effectExtent l="0" t="0" r="127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4930" cy="1075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15C" w:rsidRPr="00CD615C" w:rsidRDefault="00CD615C" w:rsidP="00CD615C">
      <w:pPr>
        <w:ind w:right="991"/>
        <w:jc w:val="center"/>
        <w:rPr>
          <w:rFonts w:eastAsia="Calibri"/>
          <w:noProof/>
        </w:rPr>
      </w:pPr>
      <w:r w:rsidRPr="00CD615C">
        <w:rPr>
          <w:rFonts w:eastAsia="Calibri"/>
          <w:noProof/>
        </w:rPr>
        <w:t xml:space="preserve">Набережные Челны «Детский сад общеразвивающего вида </w:t>
      </w:r>
    </w:p>
    <w:p w:rsidR="00CD615C" w:rsidRPr="00CD615C" w:rsidRDefault="00CD615C" w:rsidP="00CD615C">
      <w:pPr>
        <w:ind w:right="991"/>
        <w:jc w:val="center"/>
        <w:rPr>
          <w:rFonts w:eastAsia="Calibri"/>
          <w:noProof/>
        </w:rPr>
      </w:pPr>
      <w:r w:rsidRPr="00CD615C">
        <w:rPr>
          <w:rFonts w:eastAsia="Calibri"/>
          <w:noProof/>
        </w:rPr>
        <w:t>с приоритетным осуществлением деятельности по познавательно-речевому направлению развития воспитанников №114 «Челнинская мозаика»</w:t>
      </w:r>
    </w:p>
    <w:p w:rsidR="00CD615C" w:rsidRPr="00CD615C" w:rsidRDefault="00CD615C" w:rsidP="00CD615C">
      <w:pPr>
        <w:shd w:val="clear" w:color="auto" w:fill="FFFFFF"/>
        <w:jc w:val="center"/>
        <w:rPr>
          <w:b/>
          <w:color w:val="000000"/>
          <w:sz w:val="32"/>
          <w:szCs w:val="32"/>
        </w:rPr>
      </w:pPr>
    </w:p>
    <w:p w:rsidR="00CD615C" w:rsidRPr="00CD615C" w:rsidRDefault="00CD615C" w:rsidP="00CD615C">
      <w:pPr>
        <w:shd w:val="clear" w:color="auto" w:fill="FFFFFF"/>
        <w:jc w:val="center"/>
        <w:rPr>
          <w:b/>
          <w:color w:val="000000"/>
          <w:sz w:val="32"/>
          <w:szCs w:val="32"/>
        </w:rPr>
      </w:pPr>
    </w:p>
    <w:p w:rsidR="00CD615C" w:rsidRPr="00CD615C" w:rsidRDefault="00CD615C" w:rsidP="00CD615C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CD615C" w:rsidRPr="00CD615C" w:rsidRDefault="00CD615C" w:rsidP="00CD615C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CD615C" w:rsidRPr="00CD615C" w:rsidRDefault="00CD615C" w:rsidP="00CD615C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CD615C" w:rsidRPr="00CD615C" w:rsidRDefault="00CD615C" w:rsidP="00CD615C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CD615C" w:rsidRPr="00CD615C" w:rsidRDefault="00CD615C" w:rsidP="00CD615C">
      <w:pPr>
        <w:spacing w:after="200" w:line="276" w:lineRule="auto"/>
        <w:jc w:val="center"/>
        <w:rPr>
          <w:rFonts w:eastAsia="Calibri"/>
          <w:b/>
          <w:sz w:val="36"/>
          <w:szCs w:val="36"/>
          <w:lang w:val="tt-RU" w:eastAsia="en-US"/>
        </w:rPr>
      </w:pPr>
    </w:p>
    <w:p w:rsidR="00CD615C" w:rsidRPr="00CD615C" w:rsidRDefault="00CD615C" w:rsidP="00CD615C">
      <w:pPr>
        <w:spacing w:after="200" w:line="276" w:lineRule="auto"/>
        <w:jc w:val="center"/>
        <w:rPr>
          <w:rFonts w:eastAsia="Calibri"/>
          <w:b/>
          <w:sz w:val="36"/>
          <w:szCs w:val="36"/>
          <w:lang w:val="tt-RU" w:eastAsia="en-US"/>
        </w:rPr>
      </w:pPr>
    </w:p>
    <w:p w:rsidR="00CD615C" w:rsidRPr="00CD615C" w:rsidRDefault="00CD615C" w:rsidP="00CD615C">
      <w:pPr>
        <w:spacing w:after="200" w:line="276" w:lineRule="auto"/>
        <w:jc w:val="center"/>
        <w:rPr>
          <w:rFonts w:eastAsia="Calibri"/>
          <w:b/>
          <w:i/>
          <w:sz w:val="40"/>
          <w:szCs w:val="40"/>
          <w:lang w:eastAsia="en-US"/>
        </w:rPr>
      </w:pPr>
      <w:r w:rsidRPr="00CD615C">
        <w:rPr>
          <w:rFonts w:eastAsia="Calibri"/>
          <w:b/>
          <w:i/>
          <w:sz w:val="40"/>
          <w:szCs w:val="40"/>
          <w:lang w:eastAsia="en-US"/>
        </w:rPr>
        <w:t>Консультация для педагогов</w:t>
      </w:r>
    </w:p>
    <w:p w:rsidR="00CD615C" w:rsidRPr="00CD615C" w:rsidRDefault="00CD615C" w:rsidP="00CD615C">
      <w:pPr>
        <w:spacing w:after="200" w:line="276" w:lineRule="auto"/>
        <w:jc w:val="center"/>
        <w:rPr>
          <w:rFonts w:eastAsia="Calibri"/>
          <w:b/>
          <w:sz w:val="44"/>
          <w:szCs w:val="44"/>
          <w:lang w:eastAsia="en-US"/>
        </w:rPr>
      </w:pPr>
      <w:r w:rsidRPr="00CD615C">
        <w:rPr>
          <w:rFonts w:eastAsia="Calibri"/>
          <w:b/>
          <w:sz w:val="44"/>
          <w:szCs w:val="44"/>
          <w:lang w:eastAsia="en-US"/>
        </w:rPr>
        <w:t>«Создание</w:t>
      </w:r>
      <w:r w:rsidRPr="00CD615C">
        <w:rPr>
          <w:rFonts w:eastAsia="Calibri"/>
          <w:b/>
          <w:spacing w:val="1"/>
          <w:sz w:val="44"/>
          <w:szCs w:val="44"/>
          <w:lang w:eastAsia="en-US"/>
        </w:rPr>
        <w:t xml:space="preserve"> </w:t>
      </w:r>
      <w:r w:rsidRPr="00CD615C">
        <w:rPr>
          <w:rFonts w:eastAsia="Calibri"/>
          <w:b/>
          <w:sz w:val="44"/>
          <w:szCs w:val="44"/>
          <w:lang w:eastAsia="en-US"/>
        </w:rPr>
        <w:t>условий</w:t>
      </w:r>
      <w:r w:rsidRPr="00CD615C">
        <w:rPr>
          <w:rFonts w:eastAsia="Calibri"/>
          <w:b/>
          <w:spacing w:val="-4"/>
          <w:sz w:val="44"/>
          <w:szCs w:val="44"/>
          <w:lang w:eastAsia="en-US"/>
        </w:rPr>
        <w:t xml:space="preserve"> </w:t>
      </w:r>
      <w:r w:rsidRPr="00CD615C">
        <w:rPr>
          <w:rFonts w:eastAsia="Calibri"/>
          <w:b/>
          <w:sz w:val="44"/>
          <w:szCs w:val="44"/>
          <w:lang w:eastAsia="en-US"/>
        </w:rPr>
        <w:t>для</w:t>
      </w:r>
      <w:r w:rsidRPr="00CD615C">
        <w:rPr>
          <w:rFonts w:eastAsia="Calibri"/>
          <w:b/>
          <w:spacing w:val="-2"/>
          <w:sz w:val="44"/>
          <w:szCs w:val="44"/>
          <w:lang w:eastAsia="en-US"/>
        </w:rPr>
        <w:t xml:space="preserve"> </w:t>
      </w:r>
      <w:r w:rsidRPr="00CD615C">
        <w:rPr>
          <w:rFonts w:eastAsia="Calibri"/>
          <w:b/>
          <w:sz w:val="44"/>
          <w:szCs w:val="44"/>
          <w:lang w:eastAsia="en-US"/>
        </w:rPr>
        <w:t>повышения</w:t>
      </w:r>
      <w:r w:rsidRPr="00CD615C">
        <w:rPr>
          <w:rFonts w:eastAsia="Calibri"/>
          <w:b/>
          <w:spacing w:val="-2"/>
          <w:sz w:val="44"/>
          <w:szCs w:val="44"/>
          <w:lang w:eastAsia="en-US"/>
        </w:rPr>
        <w:t xml:space="preserve"> </w:t>
      </w:r>
      <w:r w:rsidRPr="00CD615C">
        <w:rPr>
          <w:rFonts w:eastAsia="Calibri"/>
          <w:b/>
          <w:sz w:val="44"/>
          <w:szCs w:val="44"/>
          <w:lang w:eastAsia="en-US"/>
        </w:rPr>
        <w:t>результативности</w:t>
      </w:r>
      <w:r w:rsidRPr="00CD615C">
        <w:rPr>
          <w:rFonts w:eastAsia="Calibri"/>
          <w:b/>
          <w:spacing w:val="-3"/>
          <w:sz w:val="44"/>
          <w:szCs w:val="44"/>
          <w:lang w:eastAsia="en-US"/>
        </w:rPr>
        <w:t xml:space="preserve"> </w:t>
      </w:r>
      <w:r w:rsidRPr="00CD615C">
        <w:rPr>
          <w:rFonts w:eastAsia="Calibri"/>
          <w:b/>
          <w:sz w:val="44"/>
          <w:szCs w:val="44"/>
          <w:lang w:eastAsia="en-US"/>
        </w:rPr>
        <w:t>обучения</w:t>
      </w:r>
      <w:r w:rsidRPr="00CD615C">
        <w:rPr>
          <w:rFonts w:eastAsia="Calibri"/>
          <w:b/>
          <w:spacing w:val="-2"/>
          <w:sz w:val="44"/>
          <w:szCs w:val="44"/>
          <w:lang w:eastAsia="en-US"/>
        </w:rPr>
        <w:t xml:space="preserve"> </w:t>
      </w:r>
      <w:r w:rsidRPr="00CD615C">
        <w:rPr>
          <w:rFonts w:eastAsia="Calibri"/>
          <w:b/>
          <w:sz w:val="44"/>
          <w:szCs w:val="44"/>
          <w:lang w:eastAsia="en-US"/>
        </w:rPr>
        <w:t>татарскому</w:t>
      </w:r>
      <w:r w:rsidRPr="00CD615C">
        <w:rPr>
          <w:rFonts w:eastAsia="Calibri"/>
          <w:b/>
          <w:spacing w:val="-12"/>
          <w:sz w:val="44"/>
          <w:szCs w:val="44"/>
          <w:lang w:eastAsia="en-US"/>
        </w:rPr>
        <w:t xml:space="preserve"> </w:t>
      </w:r>
      <w:r w:rsidRPr="00CD615C">
        <w:rPr>
          <w:rFonts w:eastAsia="Calibri"/>
          <w:b/>
          <w:sz w:val="44"/>
          <w:szCs w:val="44"/>
          <w:lang w:eastAsia="en-US"/>
        </w:rPr>
        <w:t>языку</w:t>
      </w:r>
      <w:r w:rsidRPr="00CD615C">
        <w:rPr>
          <w:rFonts w:eastAsia="Calibri"/>
          <w:b/>
          <w:spacing w:val="-8"/>
          <w:sz w:val="44"/>
          <w:szCs w:val="44"/>
          <w:lang w:eastAsia="en-US"/>
        </w:rPr>
        <w:t xml:space="preserve"> </w:t>
      </w:r>
      <w:r w:rsidRPr="00CD615C">
        <w:rPr>
          <w:rFonts w:eastAsia="Calibri"/>
          <w:b/>
          <w:sz w:val="44"/>
          <w:szCs w:val="44"/>
          <w:lang w:eastAsia="en-US"/>
        </w:rPr>
        <w:t>в</w:t>
      </w:r>
      <w:r w:rsidRPr="00CD615C">
        <w:rPr>
          <w:rFonts w:eastAsia="Calibri"/>
          <w:b/>
          <w:spacing w:val="-5"/>
          <w:sz w:val="44"/>
          <w:szCs w:val="44"/>
          <w:lang w:eastAsia="en-US"/>
        </w:rPr>
        <w:t xml:space="preserve"> </w:t>
      </w:r>
      <w:r w:rsidRPr="00CD615C">
        <w:rPr>
          <w:rFonts w:eastAsia="Calibri"/>
          <w:b/>
          <w:sz w:val="44"/>
          <w:szCs w:val="44"/>
          <w:lang w:eastAsia="en-US"/>
        </w:rPr>
        <w:t>ДОУ»</w:t>
      </w:r>
    </w:p>
    <w:p w:rsidR="00CD615C" w:rsidRPr="00CD615C" w:rsidRDefault="00CD615C" w:rsidP="00CD615C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CD615C" w:rsidRPr="00CD615C" w:rsidRDefault="00CD615C" w:rsidP="00CD615C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CD615C" w:rsidRPr="00CD615C" w:rsidRDefault="00CD615C" w:rsidP="00CD615C">
      <w:pPr>
        <w:tabs>
          <w:tab w:val="left" w:pos="1956"/>
        </w:tabs>
        <w:spacing w:after="200" w:line="276" w:lineRule="auto"/>
        <w:rPr>
          <w:rFonts w:eastAsia="Calibri"/>
          <w:b/>
          <w:sz w:val="36"/>
          <w:szCs w:val="36"/>
          <w:lang w:eastAsia="en-US"/>
        </w:rPr>
      </w:pPr>
      <w:r w:rsidRPr="00CD615C">
        <w:rPr>
          <w:rFonts w:eastAsia="Calibri"/>
          <w:b/>
          <w:sz w:val="36"/>
          <w:szCs w:val="36"/>
          <w:lang w:eastAsia="en-US"/>
        </w:rPr>
        <w:tab/>
      </w:r>
    </w:p>
    <w:p w:rsidR="00CD615C" w:rsidRDefault="00CD615C" w:rsidP="00CD615C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Подготовила: в</w:t>
      </w:r>
      <w:r w:rsidRPr="00CD615C">
        <w:rPr>
          <w:rFonts w:eastAsia="Calibri"/>
          <w:sz w:val="28"/>
          <w:szCs w:val="28"/>
          <w:lang w:eastAsia="en-US"/>
        </w:rPr>
        <w:t>оспитатель</w:t>
      </w:r>
    </w:p>
    <w:p w:rsidR="00CD615C" w:rsidRPr="00CD615C" w:rsidRDefault="00CD615C" w:rsidP="00CD615C">
      <w:pPr>
        <w:jc w:val="right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(</w:t>
      </w:r>
      <w:r w:rsidRPr="00CD615C">
        <w:rPr>
          <w:rFonts w:eastAsia="Calibri"/>
          <w:sz w:val="28"/>
          <w:szCs w:val="28"/>
          <w:lang w:eastAsia="en-US"/>
        </w:rPr>
        <w:t>по обучению</w:t>
      </w:r>
      <w:proofErr w:type="gramEnd"/>
    </w:p>
    <w:p w:rsidR="00CD615C" w:rsidRPr="00CD615C" w:rsidRDefault="00CD615C" w:rsidP="00CD615C">
      <w:pPr>
        <w:jc w:val="right"/>
        <w:rPr>
          <w:rFonts w:eastAsia="Calibri"/>
          <w:sz w:val="28"/>
          <w:szCs w:val="28"/>
          <w:lang w:eastAsia="en-US"/>
        </w:rPr>
      </w:pPr>
      <w:r w:rsidRPr="00CD615C">
        <w:rPr>
          <w:rFonts w:eastAsia="Calibri"/>
          <w:sz w:val="28"/>
          <w:szCs w:val="28"/>
          <w:lang w:eastAsia="en-US"/>
        </w:rPr>
        <w:t xml:space="preserve"> детей родному языку</w:t>
      </w:r>
      <w:r>
        <w:rPr>
          <w:rFonts w:eastAsia="Calibri"/>
          <w:sz w:val="28"/>
          <w:szCs w:val="28"/>
          <w:lang w:eastAsia="en-US"/>
        </w:rPr>
        <w:t>)</w:t>
      </w:r>
    </w:p>
    <w:p w:rsidR="00CD615C" w:rsidRDefault="00CD615C" w:rsidP="00CD615C">
      <w:pPr>
        <w:jc w:val="right"/>
        <w:rPr>
          <w:rFonts w:eastAsia="Calibri"/>
          <w:sz w:val="28"/>
          <w:szCs w:val="28"/>
          <w:lang w:eastAsia="en-US"/>
        </w:rPr>
      </w:pPr>
      <w:r w:rsidRPr="00CD615C">
        <w:rPr>
          <w:rFonts w:eastAsia="Calibri"/>
          <w:sz w:val="28"/>
          <w:szCs w:val="28"/>
          <w:lang w:eastAsia="en-US"/>
        </w:rPr>
        <w:t xml:space="preserve">высшей </w:t>
      </w:r>
      <w:r>
        <w:rPr>
          <w:rFonts w:eastAsia="Calibri"/>
          <w:sz w:val="28"/>
          <w:szCs w:val="28"/>
          <w:lang w:eastAsia="en-US"/>
        </w:rPr>
        <w:t xml:space="preserve">квалификационной </w:t>
      </w:r>
    </w:p>
    <w:p w:rsidR="00CD615C" w:rsidRDefault="00CD615C" w:rsidP="00CD615C">
      <w:pPr>
        <w:jc w:val="right"/>
        <w:rPr>
          <w:rFonts w:eastAsia="Calibri"/>
          <w:sz w:val="28"/>
          <w:szCs w:val="28"/>
          <w:lang w:eastAsia="en-US"/>
        </w:rPr>
      </w:pPr>
      <w:r w:rsidRPr="00CD615C">
        <w:rPr>
          <w:rFonts w:eastAsia="Calibri"/>
          <w:sz w:val="28"/>
          <w:szCs w:val="28"/>
          <w:lang w:eastAsia="en-US"/>
        </w:rPr>
        <w:t xml:space="preserve">категории 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615C">
        <w:rPr>
          <w:rFonts w:eastAsia="Calibri"/>
          <w:sz w:val="28"/>
          <w:szCs w:val="28"/>
          <w:lang w:eastAsia="en-US"/>
        </w:rPr>
        <w:t>Гараева</w:t>
      </w:r>
      <w:proofErr w:type="spellEnd"/>
      <w:r w:rsidRPr="00CD615C">
        <w:rPr>
          <w:rFonts w:eastAsia="Calibri"/>
          <w:sz w:val="28"/>
          <w:szCs w:val="28"/>
          <w:lang w:eastAsia="en-US"/>
        </w:rPr>
        <w:t xml:space="preserve"> Л.Х</w:t>
      </w:r>
    </w:p>
    <w:p w:rsidR="00CD615C" w:rsidRDefault="00CD615C" w:rsidP="00CD615C">
      <w:pPr>
        <w:jc w:val="right"/>
        <w:rPr>
          <w:rFonts w:eastAsia="Calibri"/>
          <w:sz w:val="28"/>
          <w:szCs w:val="28"/>
          <w:lang w:eastAsia="en-US"/>
        </w:rPr>
      </w:pPr>
    </w:p>
    <w:p w:rsidR="00CD615C" w:rsidRDefault="00CD615C" w:rsidP="00CD615C">
      <w:pPr>
        <w:jc w:val="right"/>
        <w:rPr>
          <w:rFonts w:eastAsia="Calibri"/>
          <w:sz w:val="28"/>
          <w:szCs w:val="28"/>
          <w:lang w:eastAsia="en-US"/>
        </w:rPr>
      </w:pPr>
    </w:p>
    <w:p w:rsidR="00CD615C" w:rsidRDefault="00CD615C" w:rsidP="00CD615C">
      <w:pPr>
        <w:jc w:val="right"/>
        <w:rPr>
          <w:rFonts w:eastAsia="Calibri"/>
          <w:sz w:val="28"/>
          <w:szCs w:val="28"/>
          <w:lang w:eastAsia="en-US"/>
        </w:rPr>
      </w:pPr>
    </w:p>
    <w:p w:rsidR="00CD615C" w:rsidRDefault="00CD615C" w:rsidP="00CD615C">
      <w:pPr>
        <w:jc w:val="center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г</w:t>
      </w:r>
      <w:proofErr w:type="gramStart"/>
      <w:r>
        <w:rPr>
          <w:rFonts w:eastAsia="Calibri"/>
          <w:sz w:val="28"/>
          <w:szCs w:val="28"/>
          <w:lang w:eastAsia="en-US"/>
        </w:rPr>
        <w:t>.Н</w:t>
      </w:r>
      <w:proofErr w:type="gramEnd"/>
      <w:r>
        <w:rPr>
          <w:rFonts w:eastAsia="Calibri"/>
          <w:sz w:val="28"/>
          <w:szCs w:val="28"/>
          <w:lang w:eastAsia="en-US"/>
        </w:rPr>
        <w:t>абережные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Челны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lastRenderedPageBreak/>
        <w:t>Создание условий для повышения результативности обучения татарскому языку в дошкольных образовательных учреждениях (ДОУ) требует комплексного подхода, учитывающего возрастные особенности детей, методические аспекты преподавания и создание языковой среды. Вот основные рекомендации и консультационные моменты:</w:t>
      </w:r>
    </w:p>
    <w:p w:rsidR="00CD615C" w:rsidRPr="00E0670F" w:rsidRDefault="00CD615C" w:rsidP="00E0670F">
      <w:pPr>
        <w:ind w:left="-567" w:firstLine="567"/>
        <w:jc w:val="both"/>
        <w:rPr>
          <w:b/>
          <w:sz w:val="28"/>
          <w:szCs w:val="28"/>
        </w:rPr>
      </w:pPr>
      <w:r w:rsidRPr="00E0670F">
        <w:rPr>
          <w:b/>
          <w:sz w:val="28"/>
          <w:szCs w:val="28"/>
        </w:rPr>
        <w:t>1. Создание языковой среды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Игровое пространство: Оформите группы и помещения ДОУ с использованием элементов татарской культуры (плакаты, картинки, национальные узоры, куклы в национальных костюмах).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Аудио- и видеоматериалы: Используйте песни, сказки, мультфильмы на татарском языке для погружения детей в языковую среду.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Общение на татарском языке: Поощряйте воспитателей и педагогов использовать татарский язык в повседневном общении с детьми.</w:t>
      </w:r>
    </w:p>
    <w:p w:rsidR="00CD615C" w:rsidRPr="00E0670F" w:rsidRDefault="00CD615C" w:rsidP="00E0670F">
      <w:pPr>
        <w:ind w:left="-567" w:firstLine="567"/>
        <w:jc w:val="both"/>
        <w:rPr>
          <w:b/>
          <w:sz w:val="28"/>
          <w:szCs w:val="28"/>
        </w:rPr>
      </w:pPr>
      <w:r w:rsidRPr="00E0670F">
        <w:rPr>
          <w:b/>
          <w:sz w:val="28"/>
          <w:szCs w:val="28"/>
        </w:rPr>
        <w:t>2. Использование игровых методов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Дидактические игры: Включайте игры, направленные на запоминание слов, фраз и простых предложений на татарском языке.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Ролевые игры: Создавайте ситуации, где дети могут использовать татарский язык в общении (например, игра в магазин, больницу, семью).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Подвижные игры: Используйте народные татарские игры, сопровождающиеся песенками или считалками на татарском языке.</w:t>
      </w:r>
    </w:p>
    <w:p w:rsidR="00CD615C" w:rsidRPr="00E0670F" w:rsidRDefault="00CD615C" w:rsidP="00E0670F">
      <w:pPr>
        <w:ind w:left="-567" w:firstLine="567"/>
        <w:jc w:val="both"/>
        <w:rPr>
          <w:b/>
          <w:sz w:val="28"/>
          <w:szCs w:val="28"/>
        </w:rPr>
      </w:pPr>
      <w:r w:rsidRPr="00E0670F">
        <w:rPr>
          <w:b/>
          <w:sz w:val="28"/>
          <w:szCs w:val="28"/>
        </w:rPr>
        <w:t>3. Интеграция татарского языка в образовательный процесс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Тематические занятия: Проводите занятия, посвященные татарским праздникам, традициям, культуре и истории.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Совместная деятельность: Включайте элементы татарского языка в занятия по рисованию, лепке, музыке и физической культуре.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Проектная деятельность: Реализуйте небольшие проекты, например, создание альбома с татарскими словами или проведение мини-фестиваля татарской культуры.</w:t>
      </w:r>
    </w:p>
    <w:p w:rsidR="00CD615C" w:rsidRPr="00E0670F" w:rsidRDefault="00CD615C" w:rsidP="00E0670F">
      <w:pPr>
        <w:ind w:left="-567" w:firstLine="567"/>
        <w:jc w:val="both"/>
        <w:rPr>
          <w:b/>
          <w:sz w:val="28"/>
          <w:szCs w:val="28"/>
        </w:rPr>
      </w:pPr>
      <w:r w:rsidRPr="00E0670F">
        <w:rPr>
          <w:b/>
          <w:sz w:val="28"/>
          <w:szCs w:val="28"/>
        </w:rPr>
        <w:t>4. Работа с родителями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Просветительская работа: Проводите консультации и семинары для родителей о важности изучения татарского языка.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Совместные мероприятия: Организуйте праздники, конкурсы и выставки с участием родителей, где используется татарский язык.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Рекомендации для дома: Предложите родителям использовать татарский язык в повседневной жизни (например, простые фразы, песни, мультфильмы).</w:t>
      </w:r>
    </w:p>
    <w:p w:rsidR="00CD615C" w:rsidRPr="00E0670F" w:rsidRDefault="00CD615C" w:rsidP="00E0670F">
      <w:pPr>
        <w:ind w:left="-567" w:firstLine="567"/>
        <w:jc w:val="both"/>
        <w:rPr>
          <w:b/>
          <w:sz w:val="28"/>
          <w:szCs w:val="28"/>
        </w:rPr>
      </w:pPr>
      <w:r w:rsidRPr="00E0670F">
        <w:rPr>
          <w:b/>
          <w:sz w:val="28"/>
          <w:szCs w:val="28"/>
        </w:rPr>
        <w:t>5. Повышение квалификации педагогов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Обучение воспитателей: Организуйте курсы повышения квалификации для педагогов по методике преподавания татарского языка детям дошкольного возраста.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Обмен опытом: Проводите мастер-классы и открытые занятия, где педагоги могут делиться своими наработками.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Использование современных технологий: Обучайте педагогов использованию интерактивных досок, приложений и онлайн-ресурсов для обучения татарскому языку.</w:t>
      </w:r>
    </w:p>
    <w:p w:rsidR="00CD615C" w:rsidRPr="00E0670F" w:rsidRDefault="00CD615C" w:rsidP="00E0670F">
      <w:pPr>
        <w:ind w:left="-567" w:firstLine="567"/>
        <w:jc w:val="both"/>
        <w:rPr>
          <w:b/>
          <w:sz w:val="28"/>
          <w:szCs w:val="28"/>
        </w:rPr>
      </w:pPr>
      <w:r w:rsidRPr="00E0670F">
        <w:rPr>
          <w:b/>
          <w:sz w:val="28"/>
          <w:szCs w:val="28"/>
        </w:rPr>
        <w:t>6. Мониторинг и оценка результатов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lastRenderedPageBreak/>
        <w:t>Диагностика уровня владения языком: Регулярно проводите диагностику речевых навыков детей, чтобы отслеживать прогресс.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Анализ эффективности методик: Собирайте обратную связь от педагогов и родителей, чтобы корректировать подходы к обучению.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Поощрение достижений: Отмечайте успехи детей в изучении татарского языка (грамоты, награды, выставки работ).</w:t>
      </w:r>
    </w:p>
    <w:p w:rsidR="00CD615C" w:rsidRPr="00E0670F" w:rsidRDefault="00CD615C" w:rsidP="00E0670F">
      <w:pPr>
        <w:ind w:left="-567" w:firstLine="567"/>
        <w:jc w:val="both"/>
        <w:rPr>
          <w:b/>
          <w:sz w:val="28"/>
          <w:szCs w:val="28"/>
        </w:rPr>
      </w:pPr>
      <w:r w:rsidRPr="00E0670F">
        <w:rPr>
          <w:b/>
          <w:sz w:val="28"/>
          <w:szCs w:val="28"/>
        </w:rPr>
        <w:t>7. Использование современных технологий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Мобильные приложения: Используйте обучающие приложения для детей на татарском языке.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Интерактивные материалы: Внедряйте интерактивные игры, викторины и задания.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Онлайн-ресурсы: Используйте сайты и платформы с обучающими материалами на татарском языке.</w:t>
      </w:r>
    </w:p>
    <w:p w:rsidR="00CD615C" w:rsidRPr="00E0670F" w:rsidRDefault="00CD615C" w:rsidP="00E0670F">
      <w:pPr>
        <w:ind w:left="-567" w:firstLine="567"/>
        <w:jc w:val="both"/>
        <w:rPr>
          <w:b/>
          <w:sz w:val="28"/>
          <w:szCs w:val="28"/>
        </w:rPr>
      </w:pPr>
      <w:bookmarkStart w:id="0" w:name="_GoBack"/>
      <w:r w:rsidRPr="00E0670F">
        <w:rPr>
          <w:b/>
          <w:sz w:val="28"/>
          <w:szCs w:val="28"/>
        </w:rPr>
        <w:t>8. Культурно-массовые мероприятия</w:t>
      </w:r>
    </w:p>
    <w:bookmarkEnd w:id="0"/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Праздники и фестивали: Организуйте мероприятия, посвященные татарской культуре, где дети могут выступать с песнями, стихами и танцами на татарском языке.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Экскурсии: Посещайте музеи, выставки и культурные центры, связанные с татарской культурой.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Пример плана консультации для педагогов: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Введение: Важность изучения татарского языка в ДОУ.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Методические рекомендации: Игровые методы, интеграция языка в повседневную деятельность.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Практические советы: Как создать языковую среду, использовать аудио- и видеоматериалы.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Работа с родителями: Как вовлечь родителей в процесс обучения.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Обмен опытом: Примеры успешных практик из других ДОУ.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Вопросы и ответы: Обсуждение трудностей и поиск решений.</w:t>
      </w:r>
    </w:p>
    <w:p w:rsidR="00CD615C" w:rsidRPr="00E0670F" w:rsidRDefault="00CD615C" w:rsidP="00E0670F">
      <w:pPr>
        <w:ind w:left="-567" w:firstLine="567"/>
        <w:jc w:val="both"/>
        <w:rPr>
          <w:sz w:val="28"/>
          <w:szCs w:val="28"/>
        </w:rPr>
      </w:pPr>
      <w:r w:rsidRPr="00E0670F">
        <w:rPr>
          <w:sz w:val="28"/>
          <w:szCs w:val="28"/>
        </w:rPr>
        <w:t>Создание благоприятных условий для изучения татарского языка в ДОУ требует системного подхода, но при правильной организации процесса можно достичь высоких результатов и пробудить у детей интерес к языку и культуре.</w:t>
      </w:r>
    </w:p>
    <w:p w:rsidR="005C377A" w:rsidRPr="00E0670F" w:rsidRDefault="005C377A" w:rsidP="00E0670F">
      <w:pPr>
        <w:ind w:left="-567" w:firstLine="567"/>
        <w:jc w:val="both"/>
        <w:rPr>
          <w:sz w:val="28"/>
          <w:szCs w:val="28"/>
        </w:rPr>
      </w:pPr>
    </w:p>
    <w:sectPr w:rsidR="005C377A" w:rsidRPr="00E06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B2E97"/>
    <w:multiLevelType w:val="hybridMultilevel"/>
    <w:tmpl w:val="2006E2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EEA"/>
    <w:rsid w:val="005C377A"/>
    <w:rsid w:val="00CD615C"/>
    <w:rsid w:val="00E0670F"/>
    <w:rsid w:val="00E9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615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615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1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2025-03-04T06:42:00Z</dcterms:created>
  <dcterms:modified xsi:type="dcterms:W3CDTF">2025-03-04T06:58:00Z</dcterms:modified>
</cp:coreProperties>
</file>